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2ED3" w14:textId="77777777" w:rsidR="00D34719" w:rsidRPr="00D34719" w:rsidRDefault="00D34719" w:rsidP="00D24F01">
      <w:pPr>
        <w:tabs>
          <w:tab w:val="left" w:pos="3780"/>
          <w:tab w:val="left" w:pos="4410"/>
        </w:tabs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A548DE" wp14:editId="13E955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7220" cy="245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679-2370926573-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203" b="11635"/>
                    <a:stretch/>
                  </pic:blipFill>
                  <pic:spPr bwMode="auto">
                    <a:xfrm>
                      <a:off x="0" y="0"/>
                      <a:ext cx="1887842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719">
        <w:rPr>
          <w:rFonts w:ascii="Times New Roman" w:hAnsi="Times New Roman" w:cs="Times New Roman"/>
          <w:b/>
          <w:sz w:val="28"/>
          <w:szCs w:val="28"/>
        </w:rPr>
        <w:t>PAULA M. BAGGER</w:t>
      </w:r>
    </w:p>
    <w:p w14:paraId="235014CB" w14:textId="77777777" w:rsidR="00D34719" w:rsidRDefault="00DD183A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 Office of Paula M. Bagger LLC</w:t>
      </w:r>
    </w:p>
    <w:p w14:paraId="523A75CE" w14:textId="77777777" w:rsidR="00D34719" w:rsidRDefault="00D34719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DD183A">
        <w:rPr>
          <w:rFonts w:ascii="Times New Roman" w:hAnsi="Times New Roman" w:cs="Times New Roman"/>
          <w:b/>
          <w:sz w:val="24"/>
          <w:szCs w:val="24"/>
        </w:rPr>
        <w:t>Marina Park Drive</w:t>
      </w:r>
    </w:p>
    <w:p w14:paraId="27C6334F" w14:textId="77777777" w:rsidR="00DD183A" w:rsidRDefault="00DD183A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Suite 1410</w:t>
      </w:r>
    </w:p>
    <w:p w14:paraId="79AB1E82" w14:textId="77777777" w:rsidR="00DD183A" w:rsidRDefault="00DD183A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 02210</w:t>
      </w:r>
    </w:p>
    <w:p w14:paraId="34BE6600" w14:textId="77777777" w:rsidR="00D34719" w:rsidRPr="00DD183A" w:rsidRDefault="00D34719" w:rsidP="00DD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DD183A">
        <w:rPr>
          <w:rFonts w:ascii="Times New Roman" w:hAnsi="Times New Roman" w:cs="Times New Roman"/>
          <w:b/>
          <w:sz w:val="24"/>
          <w:szCs w:val="24"/>
          <w:lang w:val="fr-FR"/>
        </w:rPr>
        <w:t>Phone:</w:t>
      </w:r>
      <w:proofErr w:type="gramEnd"/>
      <w:r w:rsidRPr="00DD18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(617) </w:t>
      </w:r>
      <w:r w:rsidR="00DD183A">
        <w:rPr>
          <w:rFonts w:ascii="Times New Roman" w:hAnsi="Times New Roman" w:cs="Times New Roman"/>
          <w:b/>
          <w:sz w:val="24"/>
          <w:szCs w:val="24"/>
          <w:lang w:val="fr-FR"/>
        </w:rPr>
        <w:t>807-7111</w:t>
      </w:r>
    </w:p>
    <w:p w14:paraId="075BE2BF" w14:textId="77777777" w:rsidR="00D34719" w:rsidRPr="00DD183A" w:rsidRDefault="00D34719" w:rsidP="00D34719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DD183A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 w:rsidRPr="00DD18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hyperlink r:id="rId6" w:history="1">
        <w:r w:rsidRPr="00DD183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pbagger@ccg-law.com</w:t>
        </w:r>
      </w:hyperlink>
    </w:p>
    <w:p w14:paraId="6B167D92" w14:textId="77777777" w:rsidR="00D24F01" w:rsidRPr="00DD183A" w:rsidRDefault="00D24F01" w:rsidP="00D34719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  <w:lang w:val="fr-FR"/>
        </w:rPr>
      </w:pPr>
    </w:p>
    <w:p w14:paraId="58DC2F1E" w14:textId="77777777" w:rsidR="00C1238D" w:rsidRPr="00DD183A" w:rsidRDefault="00C1238D" w:rsidP="00D24F0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14:paraId="12086D17" w14:textId="77777777" w:rsidR="0021789C" w:rsidRPr="00EA097E" w:rsidRDefault="00D34719" w:rsidP="00D24F0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Paula Bagger has significant experience helping clients resolve a broad range of commercial and business disputes.  She has tried, arbitrated, and</w:t>
      </w:r>
      <w:r w:rsidR="00D24F01" w:rsidRPr="00EA097E">
        <w:rPr>
          <w:rFonts w:ascii="Times New Roman" w:hAnsi="Times New Roman" w:cs="Times New Roman"/>
        </w:rPr>
        <w:t xml:space="preserve"> </w:t>
      </w:r>
      <w:r w:rsidRPr="00EA097E">
        <w:rPr>
          <w:rFonts w:ascii="Times New Roman" w:hAnsi="Times New Roman" w:cs="Times New Roman"/>
        </w:rPr>
        <w:t>settled business cases of many different types, including claims for breach of contract, fraud, unfair and deceptive business practices, and shareholder and partner disputes.</w:t>
      </w:r>
      <w:r w:rsidR="00EA097E">
        <w:rPr>
          <w:rFonts w:ascii="Times New Roman" w:hAnsi="Times New Roman" w:cs="Times New Roman"/>
        </w:rPr>
        <w:t xml:space="preserve">  </w:t>
      </w:r>
      <w:r w:rsidR="0021789C" w:rsidRPr="00EA097E">
        <w:rPr>
          <w:rFonts w:ascii="Times New Roman" w:hAnsi="Times New Roman" w:cs="Times New Roman"/>
        </w:rPr>
        <w:t xml:space="preserve">Many of her cases </w:t>
      </w:r>
      <w:r w:rsidR="00653474" w:rsidRPr="00EA097E">
        <w:rPr>
          <w:rFonts w:ascii="Times New Roman" w:hAnsi="Times New Roman" w:cs="Times New Roman"/>
        </w:rPr>
        <w:t xml:space="preserve">arise in </w:t>
      </w:r>
      <w:r w:rsidR="0021789C" w:rsidRPr="00EA097E">
        <w:rPr>
          <w:rFonts w:ascii="Times New Roman" w:hAnsi="Times New Roman" w:cs="Times New Roman"/>
        </w:rPr>
        <w:t xml:space="preserve">the financial services industry, and she is experienced in cases involving mutual funds, private equity funds, </w:t>
      </w:r>
      <w:r w:rsidR="007C694A" w:rsidRPr="00EA097E">
        <w:rPr>
          <w:rFonts w:ascii="Times New Roman" w:hAnsi="Times New Roman" w:cs="Times New Roman"/>
        </w:rPr>
        <w:t xml:space="preserve">investment advisors, </w:t>
      </w:r>
      <w:r w:rsidR="0021789C" w:rsidRPr="00EA097E">
        <w:rPr>
          <w:rFonts w:ascii="Times New Roman" w:hAnsi="Times New Roman" w:cs="Times New Roman"/>
        </w:rPr>
        <w:t xml:space="preserve">custodian banks, administrative services providers, and broker-dealers.  </w:t>
      </w:r>
      <w:r w:rsidR="00F51A9B" w:rsidRPr="00EA097E">
        <w:rPr>
          <w:rFonts w:ascii="Times New Roman" w:hAnsi="Times New Roman" w:cs="Times New Roman"/>
        </w:rPr>
        <w:t xml:space="preserve">She </w:t>
      </w:r>
      <w:r w:rsidR="007C694A" w:rsidRPr="00EA097E">
        <w:rPr>
          <w:rFonts w:ascii="Times New Roman" w:hAnsi="Times New Roman" w:cs="Times New Roman"/>
        </w:rPr>
        <w:t xml:space="preserve">also has substantial experience litigating </w:t>
      </w:r>
      <w:r w:rsidR="009A2A5C" w:rsidRPr="00EA097E">
        <w:rPr>
          <w:rFonts w:ascii="Times New Roman" w:hAnsi="Times New Roman" w:cs="Times New Roman"/>
        </w:rPr>
        <w:t xml:space="preserve">professional malpractice, </w:t>
      </w:r>
      <w:r w:rsidR="00F51A9B" w:rsidRPr="00EA097E">
        <w:rPr>
          <w:rFonts w:ascii="Times New Roman" w:hAnsi="Times New Roman" w:cs="Times New Roman"/>
        </w:rPr>
        <w:t>employment,</w:t>
      </w:r>
      <w:r w:rsidR="0021789C" w:rsidRPr="00EA097E">
        <w:rPr>
          <w:rFonts w:ascii="Times New Roman" w:hAnsi="Times New Roman" w:cs="Times New Roman"/>
        </w:rPr>
        <w:t xml:space="preserve"> and </w:t>
      </w:r>
      <w:r w:rsidR="007C694A" w:rsidRPr="00EA097E">
        <w:rPr>
          <w:rFonts w:ascii="Times New Roman" w:hAnsi="Times New Roman" w:cs="Times New Roman"/>
        </w:rPr>
        <w:t xml:space="preserve">intellectual property </w:t>
      </w:r>
      <w:r w:rsidR="0021789C" w:rsidRPr="00EA097E">
        <w:rPr>
          <w:rFonts w:ascii="Times New Roman" w:hAnsi="Times New Roman" w:cs="Times New Roman"/>
        </w:rPr>
        <w:t xml:space="preserve">claims. </w:t>
      </w:r>
    </w:p>
    <w:p w14:paraId="684DC101" w14:textId="77777777" w:rsidR="0021789C" w:rsidRPr="00EA097E" w:rsidRDefault="0021789C" w:rsidP="00933927">
      <w:pPr>
        <w:spacing w:after="0" w:line="240" w:lineRule="auto"/>
        <w:rPr>
          <w:rFonts w:ascii="Times New Roman" w:hAnsi="Times New Roman" w:cs="Times New Roman"/>
        </w:rPr>
      </w:pPr>
    </w:p>
    <w:p w14:paraId="09F21F4E" w14:textId="77777777" w:rsidR="00A32EBD" w:rsidRPr="00EA097E" w:rsidRDefault="0021789C" w:rsidP="007C694A">
      <w:pPr>
        <w:spacing w:after="0" w:line="240" w:lineRule="auto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Paula has been a partner in the firm since 1997, after practicing for ten years in the Trial Department at Goodwin Procter LLP</w:t>
      </w:r>
      <w:r w:rsidR="007C694A" w:rsidRPr="00EA097E">
        <w:rPr>
          <w:rFonts w:ascii="Times New Roman" w:hAnsi="Times New Roman" w:cs="Times New Roman"/>
        </w:rPr>
        <w:t xml:space="preserve">.  </w:t>
      </w:r>
      <w:r w:rsidR="00A32EBD" w:rsidRPr="00EA097E">
        <w:rPr>
          <w:rFonts w:ascii="Times New Roman" w:hAnsi="Times New Roman" w:cs="Times New Roman"/>
        </w:rPr>
        <w:t xml:space="preserve">After law school, </w:t>
      </w:r>
      <w:r w:rsidR="00072F71" w:rsidRPr="00EA097E">
        <w:rPr>
          <w:rFonts w:ascii="Times New Roman" w:hAnsi="Times New Roman" w:cs="Times New Roman"/>
        </w:rPr>
        <w:t xml:space="preserve">Paula served as a judicial clerk for </w:t>
      </w:r>
      <w:r w:rsidR="00A32EBD" w:rsidRPr="00EA097E">
        <w:rPr>
          <w:rFonts w:ascii="Times New Roman" w:hAnsi="Times New Roman" w:cs="Times New Roman"/>
        </w:rPr>
        <w:t>the Honorable Richard D. Cudahy of the</w:t>
      </w:r>
      <w:r w:rsidR="00F51A9B" w:rsidRPr="00EA097E">
        <w:rPr>
          <w:rFonts w:ascii="Times New Roman" w:hAnsi="Times New Roman" w:cs="Times New Roman"/>
        </w:rPr>
        <w:t xml:space="preserve"> U</w:t>
      </w:r>
      <w:r w:rsidR="00A32EBD" w:rsidRPr="00EA097E">
        <w:rPr>
          <w:rFonts w:ascii="Times New Roman" w:hAnsi="Times New Roman" w:cs="Times New Roman"/>
        </w:rPr>
        <w:t xml:space="preserve">nited States Court of Appeals for the Seventh Circuit. </w:t>
      </w:r>
      <w:r w:rsidRPr="00EA097E">
        <w:rPr>
          <w:rFonts w:ascii="Times New Roman" w:hAnsi="Times New Roman" w:cs="Times New Roman"/>
        </w:rPr>
        <w:t xml:space="preserve"> </w:t>
      </w:r>
    </w:p>
    <w:p w14:paraId="28A7A1F1" w14:textId="77777777" w:rsidR="0021789C" w:rsidRPr="00EA097E" w:rsidRDefault="0021789C" w:rsidP="009339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1FC73A4" w14:textId="77777777" w:rsidR="00D34719" w:rsidRPr="00EA097E" w:rsidRDefault="00D34719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97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0CED334C" w14:textId="77777777" w:rsidR="00D34719" w:rsidRPr="00EA097E" w:rsidRDefault="00D34719" w:rsidP="00D34719">
      <w:pPr>
        <w:spacing w:after="0" w:line="240" w:lineRule="auto"/>
        <w:rPr>
          <w:rFonts w:ascii="Times New Roman" w:hAnsi="Times New Roman" w:cs="Times New Roman"/>
        </w:rPr>
      </w:pPr>
    </w:p>
    <w:p w14:paraId="63AE86E9" w14:textId="77777777" w:rsidR="00975440" w:rsidRPr="00975440" w:rsidRDefault="00975440" w:rsidP="00975440">
      <w:pPr>
        <w:numPr>
          <w:ilvl w:val="0"/>
          <w:numId w:val="6"/>
        </w:numPr>
        <w:spacing w:after="0" w:line="240" w:lineRule="auto"/>
        <w:ind w:left="312"/>
        <w:textAlignment w:val="baseline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t>J.D.,</w:t>
      </w:r>
      <w:r w:rsidRPr="00975440">
        <w:rPr>
          <w:rFonts w:ascii="Georgia" w:eastAsia="Times New Roman" w:hAnsi="Georgia" w:cs="Times New Roman"/>
          <w:i/>
          <w:iCs/>
          <w:color w:val="666666"/>
          <w:sz w:val="18"/>
          <w:szCs w:val="18"/>
          <w:bdr w:val="none" w:sz="0" w:space="0" w:color="auto" w:frame="1"/>
        </w:rPr>
        <w:t> </w:t>
      </w: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t>with honors, The University of Chicago Law School</w:t>
      </w: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br/>
        <w:t>Order of the Coif</w:t>
      </w: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br/>
        <w:t>Comment Editor, </w:t>
      </w:r>
      <w:r w:rsidRPr="00975440">
        <w:rPr>
          <w:rFonts w:ascii="Georgia" w:eastAsia="Times New Roman" w:hAnsi="Georgia" w:cs="Times New Roman"/>
          <w:i/>
          <w:iCs/>
          <w:color w:val="666666"/>
          <w:sz w:val="18"/>
          <w:szCs w:val="18"/>
          <w:bdr w:val="none" w:sz="0" w:space="0" w:color="auto" w:frame="1"/>
        </w:rPr>
        <w:t>University of Chicago Law Review</w:t>
      </w:r>
    </w:p>
    <w:p w14:paraId="397A8A89" w14:textId="77777777" w:rsidR="00975440" w:rsidRPr="00975440" w:rsidRDefault="00975440" w:rsidP="00975440">
      <w:pPr>
        <w:numPr>
          <w:ilvl w:val="0"/>
          <w:numId w:val="6"/>
        </w:numPr>
        <w:spacing w:after="0" w:line="240" w:lineRule="auto"/>
        <w:ind w:left="312"/>
        <w:textAlignment w:val="baseline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t>A.B., </w:t>
      </w:r>
      <w:r w:rsidRPr="00975440">
        <w:rPr>
          <w:rFonts w:ascii="Georgia" w:eastAsia="Times New Roman" w:hAnsi="Georgia" w:cs="Times New Roman"/>
          <w:i/>
          <w:iCs/>
          <w:color w:val="666666"/>
          <w:sz w:val="18"/>
          <w:szCs w:val="18"/>
          <w:bdr w:val="none" w:sz="0" w:space="0" w:color="auto" w:frame="1"/>
        </w:rPr>
        <w:t>magna cum laude</w:t>
      </w:r>
      <w:r w:rsidRPr="00975440">
        <w:rPr>
          <w:rFonts w:ascii="Georgia" w:eastAsia="Times New Roman" w:hAnsi="Georgia" w:cs="Times New Roman"/>
          <w:color w:val="666666"/>
          <w:sz w:val="18"/>
          <w:szCs w:val="18"/>
        </w:rPr>
        <w:t>, Harvard University</w:t>
      </w:r>
    </w:p>
    <w:p w14:paraId="18A29CD7" w14:textId="77777777" w:rsidR="00D34719" w:rsidRPr="00EA097E" w:rsidRDefault="00D34719" w:rsidP="00EA097E">
      <w:pPr>
        <w:spacing w:after="0" w:line="240" w:lineRule="auto"/>
        <w:ind w:left="450"/>
        <w:rPr>
          <w:rFonts w:ascii="Times New Roman" w:hAnsi="Times New Roman" w:cs="Times New Roman"/>
        </w:rPr>
      </w:pPr>
      <w:bookmarkStart w:id="0" w:name="_GoBack"/>
      <w:bookmarkEnd w:id="0"/>
    </w:p>
    <w:p w14:paraId="3167B0AF" w14:textId="77777777" w:rsidR="00D34719" w:rsidRPr="00EA097E" w:rsidRDefault="00D34719" w:rsidP="00D3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97E">
        <w:rPr>
          <w:rFonts w:ascii="Times New Roman" w:hAnsi="Times New Roman" w:cs="Times New Roman"/>
          <w:b/>
          <w:sz w:val="24"/>
          <w:szCs w:val="24"/>
          <w:u w:val="single"/>
        </w:rPr>
        <w:t>Bar Admissions</w:t>
      </w:r>
    </w:p>
    <w:p w14:paraId="71F1F579" w14:textId="77777777" w:rsidR="00D34719" w:rsidRPr="00EA097E" w:rsidRDefault="00D34719" w:rsidP="00D34719">
      <w:pPr>
        <w:spacing w:after="0" w:line="240" w:lineRule="auto"/>
        <w:rPr>
          <w:rFonts w:ascii="Times New Roman" w:hAnsi="Times New Roman" w:cs="Times New Roman"/>
        </w:rPr>
      </w:pPr>
    </w:p>
    <w:p w14:paraId="6A63233B" w14:textId="77777777" w:rsidR="00D34719" w:rsidRPr="00EA097E" w:rsidRDefault="00D34719" w:rsidP="00EA097E">
      <w:pPr>
        <w:spacing w:after="0" w:line="240" w:lineRule="auto"/>
        <w:ind w:left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Commonwealth of Massachusetts</w:t>
      </w:r>
    </w:p>
    <w:p w14:paraId="784B8D6F" w14:textId="77777777" w:rsidR="00D34719" w:rsidRPr="00EA097E" w:rsidRDefault="00EA097E" w:rsidP="00EA097E">
      <w:pPr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34719" w:rsidRPr="00EA097E">
        <w:rPr>
          <w:rFonts w:ascii="Times New Roman" w:hAnsi="Times New Roman" w:cs="Times New Roman"/>
        </w:rPr>
        <w:t>nited States District Court, District</w:t>
      </w:r>
      <w:r w:rsidR="00D24F01" w:rsidRPr="00EA097E">
        <w:rPr>
          <w:rFonts w:ascii="Times New Roman" w:hAnsi="Times New Roman" w:cs="Times New Roman"/>
        </w:rPr>
        <w:t>s</w:t>
      </w:r>
      <w:r w:rsidR="00D34719" w:rsidRPr="00EA097E">
        <w:rPr>
          <w:rFonts w:ascii="Times New Roman" w:hAnsi="Times New Roman" w:cs="Times New Roman"/>
        </w:rPr>
        <w:t xml:space="preserve"> of Massachusetts</w:t>
      </w:r>
      <w:r w:rsidR="00D24F01" w:rsidRPr="00EA097E">
        <w:rPr>
          <w:rFonts w:ascii="Times New Roman" w:hAnsi="Times New Roman" w:cs="Times New Roman"/>
        </w:rPr>
        <w:t xml:space="preserve"> and Connecticut</w:t>
      </w:r>
    </w:p>
    <w:p w14:paraId="057DD6F6" w14:textId="77777777" w:rsidR="00D34719" w:rsidRPr="00EA097E" w:rsidRDefault="00D34719" w:rsidP="00EA097E">
      <w:pPr>
        <w:spacing w:after="0" w:line="240" w:lineRule="auto"/>
        <w:ind w:left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United States Court of Appeals, First</w:t>
      </w:r>
      <w:r w:rsidR="00D24F01" w:rsidRPr="00EA097E">
        <w:rPr>
          <w:rFonts w:ascii="Times New Roman" w:hAnsi="Times New Roman" w:cs="Times New Roman"/>
        </w:rPr>
        <w:t>, Seventh, and Federal</w:t>
      </w:r>
      <w:r w:rsidRPr="00EA097E">
        <w:rPr>
          <w:rFonts w:ascii="Times New Roman" w:hAnsi="Times New Roman" w:cs="Times New Roman"/>
        </w:rPr>
        <w:t xml:space="preserve"> Circuit</w:t>
      </w:r>
      <w:r w:rsidR="00D24F01" w:rsidRPr="00EA097E">
        <w:rPr>
          <w:rFonts w:ascii="Times New Roman" w:hAnsi="Times New Roman" w:cs="Times New Roman"/>
        </w:rPr>
        <w:t>s</w:t>
      </w:r>
    </w:p>
    <w:p w14:paraId="47AC43C1" w14:textId="77777777" w:rsidR="00D34719" w:rsidRPr="00EA097E" w:rsidRDefault="00D34719" w:rsidP="00D34719">
      <w:pPr>
        <w:spacing w:after="0" w:line="240" w:lineRule="auto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ab/>
      </w:r>
    </w:p>
    <w:p w14:paraId="36B01948" w14:textId="77777777" w:rsidR="00085895" w:rsidRPr="00EA097E" w:rsidRDefault="00085895" w:rsidP="000858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97E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Representative Matters   </w:t>
      </w:r>
    </w:p>
    <w:p w14:paraId="1CC6B4A7" w14:textId="77777777" w:rsidR="00085895" w:rsidRPr="00EA097E" w:rsidRDefault="00085895" w:rsidP="000858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FEF6058" w14:textId="77777777" w:rsidR="00975440" w:rsidRPr="00975440" w:rsidRDefault="00085895" w:rsidP="00975440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●</w:t>
      </w:r>
      <w:r w:rsidRPr="00EA097E">
        <w:rPr>
          <w:rFonts w:ascii="Times New Roman" w:hAnsi="Times New Roman" w:cs="Times New Roman"/>
        </w:rPr>
        <w:tab/>
      </w:r>
      <w:r w:rsidR="00975440" w:rsidRPr="00975440">
        <w:rPr>
          <w:rFonts w:ascii="Times New Roman" w:hAnsi="Times New Roman" w:cs="Times New Roman"/>
        </w:rPr>
        <w:t>As trial counsel to the owner of one of Boston’s largest office tower complexes, prevailed in an action to enforce the surrender provisions of a long-term lease with a major law firm tenant.</w:t>
      </w:r>
    </w:p>
    <w:p w14:paraId="2539149F" w14:textId="77777777" w:rsidR="00975440" w:rsidRDefault="00975440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2FC294C3" w14:textId="77777777" w:rsidR="00975440" w:rsidRDefault="00975440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56D1BDA7" w14:textId="77777777" w:rsidR="00975440" w:rsidRDefault="00975440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0E0D27D0" w14:textId="1E086A03" w:rsidR="00085895" w:rsidRPr="00EA097E" w:rsidRDefault="00975440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●</w:t>
      </w:r>
      <w:r w:rsidRPr="00EA097E">
        <w:rPr>
          <w:rFonts w:ascii="Times New Roman" w:hAnsi="Times New Roman" w:cs="Times New Roman"/>
        </w:rPr>
        <w:tab/>
      </w:r>
      <w:r w:rsidR="00085895" w:rsidRPr="00EA097E">
        <w:rPr>
          <w:rFonts w:ascii="Times New Roman" w:hAnsi="Times New Roman" w:cs="Times New Roman"/>
        </w:rPr>
        <w:t xml:space="preserve">Tried to a favorable jury verdict employee’s claim against the owner of a trade publication who reneged on a promise to share with her the proceeds of a sale of the paper.  The jury found that the employee had relied to her detriment on the owner’s false promises and awarded substantial damages, which were successfully defended on appeal.  </w:t>
      </w:r>
    </w:p>
    <w:p w14:paraId="29BD126F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5578E4D2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  <w:r w:rsidRPr="00EA097E">
        <w:rPr>
          <w:rFonts w:ascii="Times New Roman" w:hAnsi="Times New Roman" w:cs="Times New Roman"/>
        </w:rPr>
        <w:lastRenderedPageBreak/>
        <w:t>●</w:t>
      </w:r>
      <w:r w:rsidRPr="00EA097E">
        <w:rPr>
          <w:rFonts w:ascii="Times New Roman" w:hAnsi="Times New Roman" w:cs="Times New Roman"/>
        </w:rPr>
        <w:tab/>
        <w:t xml:space="preserve">Successfully defended supervisory employees of a national technology company charged with sexual </w:t>
      </w:r>
      <w:r w:rsidRPr="00EA097E">
        <w:rPr>
          <w:rFonts w:ascii="Times New Roman" w:eastAsia="Times New Roman" w:hAnsi="Times New Roman" w:cs="Times New Roman"/>
          <w:color w:val="333333"/>
        </w:rPr>
        <w:t xml:space="preserve">harassment by an employee at a Massachusetts manufacturing facility.  Aggressive factual investigation resulted in plaintiff’s voluntary dismissal of the Complaint, with prejudice.  </w:t>
      </w:r>
    </w:p>
    <w:p w14:paraId="19EF247B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</w:p>
    <w:p w14:paraId="06575482" w14:textId="77777777" w:rsidR="00085895" w:rsidRPr="00EA097E" w:rsidRDefault="00085895" w:rsidP="00EA097E">
      <w:pPr>
        <w:tabs>
          <w:tab w:val="left" w:pos="0"/>
        </w:tabs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●</w:t>
      </w:r>
      <w:r w:rsidRPr="00EA097E">
        <w:rPr>
          <w:rFonts w:ascii="Times New Roman" w:hAnsi="Times New Roman" w:cs="Times New Roman"/>
        </w:rPr>
        <w:tab/>
        <w:t>A</w:t>
      </w:r>
      <w:r w:rsidR="00EA097E">
        <w:rPr>
          <w:rFonts w:ascii="Times New Roman" w:hAnsi="Times New Roman" w:cs="Times New Roman"/>
        </w:rPr>
        <w:t xml:space="preserve">ppointed </w:t>
      </w:r>
      <w:r w:rsidRPr="00EA097E">
        <w:rPr>
          <w:rFonts w:ascii="Times New Roman" w:hAnsi="Times New Roman" w:cs="Times New Roman"/>
        </w:rPr>
        <w:t>counsel to the Chapter 7 Trustee of a nationwide nursing home chain</w:t>
      </w:r>
      <w:r w:rsidR="00EA097E">
        <w:rPr>
          <w:rFonts w:ascii="Times New Roman" w:hAnsi="Times New Roman" w:cs="Times New Roman"/>
        </w:rPr>
        <w:t xml:space="preserve"> to </w:t>
      </w:r>
      <w:r w:rsidRPr="00EA097E">
        <w:rPr>
          <w:rFonts w:ascii="Times New Roman" w:hAnsi="Times New Roman" w:cs="Times New Roman"/>
        </w:rPr>
        <w:t xml:space="preserve">investigate and prosecute adversary proceedings against </w:t>
      </w:r>
      <w:r w:rsidR="00EA097E">
        <w:rPr>
          <w:rFonts w:ascii="Times New Roman" w:hAnsi="Times New Roman" w:cs="Times New Roman"/>
        </w:rPr>
        <w:t>debtor’s</w:t>
      </w:r>
      <w:r w:rsidRPr="00EA097E">
        <w:rPr>
          <w:rFonts w:ascii="Times New Roman" w:hAnsi="Times New Roman" w:cs="Times New Roman"/>
        </w:rPr>
        <w:t xml:space="preserve"> officers and directors</w:t>
      </w:r>
      <w:r w:rsidR="007D41D4">
        <w:rPr>
          <w:rFonts w:ascii="Times New Roman" w:hAnsi="Times New Roman" w:cs="Times New Roman"/>
        </w:rPr>
        <w:t xml:space="preserve">, </w:t>
      </w:r>
      <w:r w:rsidRPr="00EA097E">
        <w:rPr>
          <w:rFonts w:ascii="Times New Roman" w:hAnsi="Times New Roman" w:cs="Times New Roman"/>
        </w:rPr>
        <w:t xml:space="preserve">alleging a concerted course of self-dealing and losses in the millions of dollars.  Careful factual development and legal analysis led to a significant recovery by the Trustee after mediation.  </w:t>
      </w:r>
    </w:p>
    <w:p w14:paraId="5F51C030" w14:textId="77777777" w:rsidR="00085895" w:rsidRPr="00EA097E" w:rsidRDefault="00085895" w:rsidP="00EA097E">
      <w:pPr>
        <w:tabs>
          <w:tab w:val="left" w:pos="0"/>
        </w:tabs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5E46DDC8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  <w:r w:rsidRPr="00EA097E">
        <w:rPr>
          <w:rFonts w:ascii="Times New Roman" w:hAnsi="Times New Roman" w:cs="Times New Roman"/>
        </w:rPr>
        <w:t>●</w:t>
      </w:r>
      <w:r w:rsidRPr="00EA097E">
        <w:rPr>
          <w:rFonts w:ascii="Times New Roman" w:hAnsi="Times New Roman" w:cs="Times New Roman"/>
        </w:rPr>
        <w:tab/>
      </w:r>
      <w:r w:rsidRPr="00EA097E">
        <w:rPr>
          <w:rFonts w:ascii="Times New Roman" w:eastAsia="Times New Roman" w:hAnsi="Times New Roman" w:cs="Times New Roman"/>
          <w:color w:val="333333"/>
        </w:rPr>
        <w:t xml:space="preserve">Successfully defended a national law firm against claims by the bankruptcy trustee of a former corporate client, who alleged that the firm had failed to disclose a disqualifying conflict of interest.  This claim was defeated on a motion for summary judgment establishing a lack of causal connection between the alleged undisclosed conflict and any damages.  </w:t>
      </w:r>
    </w:p>
    <w:p w14:paraId="5FB73485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  <w:r w:rsidRPr="00EA097E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266BD9E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  <w:r w:rsidRPr="00EA097E">
        <w:rPr>
          <w:rFonts w:ascii="Times New Roman" w:eastAsia="Times New Roman" w:hAnsi="Times New Roman" w:cs="Times New Roman"/>
          <w:color w:val="333333"/>
        </w:rPr>
        <w:t>●</w:t>
      </w:r>
      <w:r w:rsidRPr="00EA097E">
        <w:rPr>
          <w:rFonts w:ascii="Times New Roman" w:eastAsia="Times New Roman" w:hAnsi="Times New Roman" w:cs="Times New Roman"/>
          <w:color w:val="333333"/>
        </w:rPr>
        <w:tab/>
        <w:t xml:space="preserve">Successfully defended a closely-held medical devices company against the claims of a minority shareholder who had been employed by the company during the early development stages of the company’s product.  A jury trial resulted in a verdict and judgment favorable to the company on the shareholder’s individual and derivative claims.  </w:t>
      </w:r>
    </w:p>
    <w:p w14:paraId="0A850E13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</w:rPr>
      </w:pPr>
    </w:p>
    <w:p w14:paraId="2D79A0CE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EA097E">
        <w:rPr>
          <w:rFonts w:ascii="Times New Roman" w:hAnsi="Times New Roman" w:cs="Times New Roman"/>
        </w:rPr>
        <w:t>●</w:t>
      </w:r>
      <w:r w:rsidRPr="00EA097E">
        <w:rPr>
          <w:rFonts w:ascii="Times New Roman" w:hAnsi="Times New Roman" w:cs="Times New Roman"/>
        </w:rPr>
        <w:tab/>
        <w:t>Successfully established the rights of waterfront property owners to control access over a private way to the beach.  A motion for summary judgment on a Land Court action to quiet title yielded a favorable memorandum of decision clarifying important unsettled issues regarding express and implied easements over registered land.</w:t>
      </w:r>
    </w:p>
    <w:p w14:paraId="2E1AD7A1" w14:textId="77777777" w:rsidR="00085895" w:rsidRPr="00EA097E" w:rsidRDefault="00085895" w:rsidP="00EA097E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06C15486" w14:textId="77777777" w:rsidR="00975440" w:rsidRDefault="00975440" w:rsidP="00975440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Professional Recognition</w:t>
      </w:r>
    </w:p>
    <w:p w14:paraId="41D44650" w14:textId="77777777" w:rsidR="00975440" w:rsidRDefault="00975440" w:rsidP="0097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Massachusetts Super Lawyer, Business Litigation, 2004-2009, 2011-2015</w:t>
      </w:r>
    </w:p>
    <w:p w14:paraId="079A364B" w14:textId="77777777" w:rsidR="00975440" w:rsidRDefault="00975440" w:rsidP="0097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Martindale Hubbell Peer Review, Rated AV Preeminent</w:t>
      </w:r>
    </w:p>
    <w:p w14:paraId="42219CCF" w14:textId="77777777" w:rsidR="00975440" w:rsidRDefault="00975440" w:rsidP="0097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Fellow, Litigation Counsel of America</w:t>
      </w:r>
    </w:p>
    <w:p w14:paraId="1E898891" w14:textId="77777777" w:rsidR="00975440" w:rsidRDefault="00975440" w:rsidP="00975440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Professional Involvement</w:t>
      </w:r>
    </w:p>
    <w:p w14:paraId="1D48F493" w14:textId="77777777" w:rsidR="00975440" w:rsidRDefault="00975440" w:rsidP="0097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Hearing Officer, Massachusetts Board of Bar Overseers, 2014-</w:t>
      </w:r>
    </w:p>
    <w:p w14:paraId="12DB7356" w14:textId="77777777" w:rsidR="00975440" w:rsidRDefault="00975440" w:rsidP="0097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Boston Bar Association, Business and Commercial Litigation Section, C0-Chair</w:t>
      </w:r>
    </w:p>
    <w:p w14:paraId="07E46C1C" w14:textId="77777777" w:rsidR="00975440" w:rsidRDefault="00975440" w:rsidP="0097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American Bar Association, Section of Litigation, Commercial and Business Litigation Committee, Vice Chair</w:t>
      </w:r>
    </w:p>
    <w:p w14:paraId="611414AF" w14:textId="77777777" w:rsidR="00975440" w:rsidRDefault="00975440" w:rsidP="0097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American Bar Association, Section of Litigation, Content Management Committee</w:t>
      </w:r>
    </w:p>
    <w:p w14:paraId="5A6A6559" w14:textId="77777777" w:rsidR="00975440" w:rsidRDefault="00975440" w:rsidP="0097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Judge, ABA Law Student Division National Appellate Advocacy </w:t>
      </w:r>
      <w:proofErr w:type="gramStart"/>
      <w:r>
        <w:rPr>
          <w:rFonts w:eastAsia="Times New Roman"/>
        </w:rPr>
        <w:t>Competition,  2016</w:t>
      </w:r>
      <w:proofErr w:type="gramEnd"/>
      <w:r>
        <w:rPr>
          <w:rFonts w:eastAsia="Times New Roman"/>
        </w:rPr>
        <w:t>-2017</w:t>
      </w:r>
    </w:p>
    <w:p w14:paraId="3EBEF720" w14:textId="77777777" w:rsidR="00975440" w:rsidRDefault="00975440" w:rsidP="00975440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Publications and Presentations</w:t>
      </w:r>
    </w:p>
    <w:p w14:paraId="3F1B60C4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American Bar Association, Section of Litigation, "Editor's Symposium" (upcoming) 2017</w:t>
      </w:r>
    </w:p>
    <w:p w14:paraId="185C0663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Stafford CLE, </w:t>
      </w:r>
      <w:hyperlink r:id="rId7" w:history="1">
        <w:r>
          <w:rPr>
            <w:rStyle w:val="Hyperlink"/>
            <w:rFonts w:eastAsia="Times New Roman"/>
          </w:rPr>
          <w:t>"Representing Closely Held Entities: Conflicts of Interest and Fiduciary Duties to a Company and its Principals"</w:t>
        </w:r>
      </w:hyperlink>
      <w:r>
        <w:rPr>
          <w:rFonts w:eastAsia="Times New Roman"/>
        </w:rPr>
        <w:t xml:space="preserve"> (upcoming) 2017</w:t>
      </w:r>
    </w:p>
    <w:p w14:paraId="1D6DCCDF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Boston Bar Association, "BLS Year in Review" (moderator) 2017</w:t>
      </w:r>
    </w:p>
    <w:p w14:paraId="185956BD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Boston Bar Association, “The 2015 Amendments to the Federal Rules of Civil Procedure” (moderator) 2016</w:t>
      </w:r>
    </w:p>
    <w:p w14:paraId="36614E54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Massachusetts Continuing Legal Education, “14th Annual Business Litigation Conference” (panelist) 2015</w:t>
      </w:r>
    </w:p>
    <w:p w14:paraId="4E06B2CC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“Ethical Issues Facing Corporate Counsel in Closely Held Business Disputes,”</w:t>
        </w:r>
      </w:hyperlink>
      <w:r>
        <w:rPr>
          <w:rStyle w:val="Emphasis"/>
          <w:rFonts w:eastAsia="Times New Roman"/>
        </w:rPr>
        <w:t xml:space="preserve"> Commercial &amp; Business Litigation</w:t>
      </w:r>
      <w:r>
        <w:rPr>
          <w:rFonts w:eastAsia="Times New Roman"/>
        </w:rPr>
        <w:t xml:space="preserve"> (Winter 2015)</w:t>
      </w:r>
    </w:p>
    <w:p w14:paraId="7206247B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“Minority Shareholder Threats to Subchapter S Elections,”</w:t>
        </w:r>
      </w:hyperlink>
      <w:r>
        <w:rPr>
          <w:rStyle w:val="Emphasis"/>
          <w:rFonts w:eastAsia="Times New Roman"/>
        </w:rPr>
        <w:t xml:space="preserve"> Commercial &amp; Business Litigation</w:t>
      </w:r>
      <w:r>
        <w:rPr>
          <w:rFonts w:eastAsia="Times New Roman"/>
        </w:rPr>
        <w:t xml:space="preserve"> (Winter 2014)</w:t>
      </w:r>
    </w:p>
    <w:p w14:paraId="70B283DB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Women in eDiscovery, “2014 Mass. R. Civ. P. eDiscovery Amendments” (presenter), December 2013</w:t>
      </w:r>
    </w:p>
    <w:p w14:paraId="0B796E76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“Predictive Coding Goes Mainstream,”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Commercial &amp; Business Litigation </w:t>
      </w:r>
      <w:r>
        <w:rPr>
          <w:rFonts w:eastAsia="Times New Roman"/>
        </w:rPr>
        <w:t>(Winter 2013)</w:t>
      </w:r>
    </w:p>
    <w:p w14:paraId="4C8F48C2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Co-Author, </w:t>
      </w:r>
      <w:r>
        <w:rPr>
          <w:rFonts w:eastAsia="Times New Roman"/>
          <w:i/>
          <w:iCs/>
        </w:rPr>
        <w:t>Guide to Protecting and Litigating Trade Secrets</w:t>
      </w:r>
      <w:r>
        <w:rPr>
          <w:rFonts w:eastAsia="Times New Roman"/>
        </w:rPr>
        <w:t xml:space="preserve"> (ABA 2012)</w:t>
      </w:r>
    </w:p>
    <w:p w14:paraId="2FE7148B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“Drafting an Effective Agreement for Nontraditional Dispute Resolution,”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Commercial &amp; Business Litigation </w:t>
      </w:r>
      <w:r>
        <w:rPr>
          <w:rFonts w:eastAsia="Times New Roman"/>
        </w:rPr>
        <w:t>(Spring 2009)</w:t>
      </w:r>
    </w:p>
    <w:p w14:paraId="4F0BD8B6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Massachusetts Continuing Legal Education, “Taking Depositions Workshop” (co-chair), 2000-2003</w:t>
      </w:r>
    </w:p>
    <w:p w14:paraId="14858B25" w14:textId="77777777" w:rsidR="00975440" w:rsidRDefault="00975440" w:rsidP="0097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Massachusetts Continuing Legal Education, “Introducing Evidence at Trial” (presenter), 2002</w:t>
      </w:r>
    </w:p>
    <w:p w14:paraId="6237D9CA" w14:textId="77777777" w:rsidR="00975440" w:rsidRDefault="00975440" w:rsidP="00975440">
      <w:pPr>
        <w:pStyle w:val="Heading3"/>
        <w:rPr>
          <w:rFonts w:eastAsia="Times New Roman"/>
        </w:rPr>
      </w:pPr>
      <w:r>
        <w:rPr>
          <w:rFonts w:eastAsia="Times New Roman"/>
        </w:rPr>
        <w:t> </w:t>
      </w:r>
      <w:r>
        <w:rPr>
          <w:rStyle w:val="Strong"/>
          <w:rFonts w:eastAsia="Times New Roman"/>
          <w:b/>
          <w:bCs/>
        </w:rPr>
        <w:t>Community Involvement</w:t>
      </w:r>
    </w:p>
    <w:p w14:paraId="13AB01F0" w14:textId="77777777" w:rsidR="00975440" w:rsidRDefault="00975440" w:rsidP="00975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Vice President, Hingham Historical Society, Hingham, Mass.</w:t>
      </w:r>
    </w:p>
    <w:p w14:paraId="227608B7" w14:textId="77777777" w:rsidR="00975440" w:rsidRDefault="00975440" w:rsidP="00975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Member, Town of Hingham Historic Archives Task Force</w:t>
      </w:r>
    </w:p>
    <w:p w14:paraId="057DC2C2" w14:textId="77777777" w:rsidR="001265EE" w:rsidRDefault="001265EE" w:rsidP="00975440">
      <w:pPr>
        <w:spacing w:after="0" w:line="240" w:lineRule="auto"/>
      </w:pPr>
    </w:p>
    <w:sectPr w:rsidR="0012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EE2"/>
    <w:multiLevelType w:val="multilevel"/>
    <w:tmpl w:val="E7E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1DB"/>
    <w:multiLevelType w:val="multilevel"/>
    <w:tmpl w:val="BFD0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59DE"/>
    <w:multiLevelType w:val="multilevel"/>
    <w:tmpl w:val="AC4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953D6"/>
    <w:multiLevelType w:val="multilevel"/>
    <w:tmpl w:val="0E009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F12EA"/>
    <w:multiLevelType w:val="multilevel"/>
    <w:tmpl w:val="AE00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D6527"/>
    <w:multiLevelType w:val="multilevel"/>
    <w:tmpl w:val="9CB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3F"/>
    <w:rsid w:val="00004B64"/>
    <w:rsid w:val="00072F71"/>
    <w:rsid w:val="00085895"/>
    <w:rsid w:val="00105679"/>
    <w:rsid w:val="001265EE"/>
    <w:rsid w:val="0021789C"/>
    <w:rsid w:val="005322E2"/>
    <w:rsid w:val="005C0F44"/>
    <w:rsid w:val="005E1BD4"/>
    <w:rsid w:val="005E2A4B"/>
    <w:rsid w:val="00627F8A"/>
    <w:rsid w:val="0063718F"/>
    <w:rsid w:val="00653474"/>
    <w:rsid w:val="007676E8"/>
    <w:rsid w:val="007C694A"/>
    <w:rsid w:val="007D41D4"/>
    <w:rsid w:val="00844A2A"/>
    <w:rsid w:val="008900A6"/>
    <w:rsid w:val="00906319"/>
    <w:rsid w:val="00933927"/>
    <w:rsid w:val="00975440"/>
    <w:rsid w:val="009A2A5C"/>
    <w:rsid w:val="009D2F3F"/>
    <w:rsid w:val="00A024F9"/>
    <w:rsid w:val="00A32EBD"/>
    <w:rsid w:val="00A50EEB"/>
    <w:rsid w:val="00AD2807"/>
    <w:rsid w:val="00AE21E3"/>
    <w:rsid w:val="00B70AF1"/>
    <w:rsid w:val="00C1238D"/>
    <w:rsid w:val="00CF7A03"/>
    <w:rsid w:val="00D24F01"/>
    <w:rsid w:val="00D34719"/>
    <w:rsid w:val="00D359E9"/>
    <w:rsid w:val="00D65163"/>
    <w:rsid w:val="00D66FE2"/>
    <w:rsid w:val="00DA1674"/>
    <w:rsid w:val="00DD183A"/>
    <w:rsid w:val="00DE3321"/>
    <w:rsid w:val="00EA097E"/>
    <w:rsid w:val="00ED67FF"/>
    <w:rsid w:val="00F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E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44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5440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5440"/>
    <w:rPr>
      <w:b/>
      <w:bCs/>
    </w:rPr>
  </w:style>
  <w:style w:type="character" w:styleId="Emphasis">
    <w:name w:val="Emphasis"/>
    <w:basedOn w:val="DefaultParagraphFont"/>
    <w:uiPriority w:val="20"/>
    <w:qFormat/>
    <w:rsid w:val="00975440"/>
    <w:rPr>
      <w:i/>
      <w:iCs/>
    </w:rPr>
  </w:style>
  <w:style w:type="character" w:customStyle="1" w:styleId="apple-converted-space">
    <w:name w:val="apple-converted-space"/>
    <w:basedOn w:val="DefaultParagraphFont"/>
    <w:rsid w:val="0097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g-law.com/wp-content/uploads/2013/03/Article_Drafting-Nontraditional-ADR-Provisions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bagger@ccg-law.com" TargetMode="External"/><Relationship Id="rId7" Type="http://schemas.openxmlformats.org/officeDocument/2006/relationships/hyperlink" Target="https://www.straffordpub.com/products/representing-closely-held-entities-conflicts-of-interest-and-fiduciary-duty-to-a-company-and-its-principals-2017-09-28" TargetMode="External"/><Relationship Id="rId8" Type="http://schemas.openxmlformats.org/officeDocument/2006/relationships/hyperlink" Target="http://www.ccg-law.com/wp-content/uploads/2013/02/Bagger-Article-Closely-Held.pdf" TargetMode="External"/><Relationship Id="rId9" Type="http://schemas.openxmlformats.org/officeDocument/2006/relationships/hyperlink" Target="http://www.ccg-law.com/wp-content/uploads/2013/02/Bagger-Article.pdf" TargetMode="External"/><Relationship Id="rId10" Type="http://schemas.openxmlformats.org/officeDocument/2006/relationships/hyperlink" Target="http://www.ccg-law.com/wp-content/uploads/2013/03/Predictive-Coding-Arti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959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Bagger</dc:creator>
  <cp:lastModifiedBy>Paula Bagger</cp:lastModifiedBy>
  <cp:revision>16</cp:revision>
  <cp:lastPrinted>2013-02-27T22:45:00Z</cp:lastPrinted>
  <dcterms:created xsi:type="dcterms:W3CDTF">2012-05-21T20:15:00Z</dcterms:created>
  <dcterms:modified xsi:type="dcterms:W3CDTF">2017-09-13T02:59:00Z</dcterms:modified>
</cp:coreProperties>
</file>